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0" w:rsidRDefault="00304E80" w:rsidP="00304E80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P R A W O Z D A N I E </w:t>
      </w:r>
    </w:p>
    <w:p w:rsidR="00304E80" w:rsidRDefault="00304E80" w:rsidP="00304E80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działalności międzysesyjnej Wójta Gminy Grabów</w:t>
      </w:r>
    </w:p>
    <w:p w:rsidR="00304E80" w:rsidRDefault="00304E80" w:rsidP="00304E80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od 29 lutego 2012r. do dnia 19 kwietnia 2012r.</w:t>
      </w:r>
    </w:p>
    <w:p w:rsidR="00304E80" w:rsidRDefault="00304E80" w:rsidP="00304E80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304E80" w:rsidRDefault="00304E80" w:rsidP="00304E80">
      <w:pPr>
        <w:pStyle w:val="Tekstpodstawowy3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omawianym okresie podjęto następujące działania:</w:t>
      </w:r>
    </w:p>
    <w:p w:rsidR="00304E80" w:rsidRPr="00F24882" w:rsidRDefault="00304E80" w:rsidP="00F24882">
      <w:pPr>
        <w:pStyle w:val="Tekstpodstawowy3"/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304E80" w:rsidRPr="00F24882" w:rsidRDefault="00304E80" w:rsidP="00C107D6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24882">
        <w:rPr>
          <w:rFonts w:ascii="Verdana" w:hAnsi="Verdana"/>
          <w:b/>
          <w:sz w:val="20"/>
          <w:szCs w:val="20"/>
          <w:u w:val="single"/>
        </w:rPr>
        <w:t>W zakresie Gospodarki Nieruchomościami</w:t>
      </w:r>
    </w:p>
    <w:p w:rsidR="003572FD" w:rsidRPr="00F24882" w:rsidRDefault="003572FD" w:rsidP="00F248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1.W dniu 22.03.2012 został zawarty akt notarialny na sprzedaż nieruchomości  oznaczonej nr działki 97/1 o pow. 1700 m²  położonej przy ulicy Kochanowskiego za cenę 111 500,00 zł na rzecz Tomasza i Iwony Pionko.</w:t>
      </w:r>
    </w:p>
    <w:p w:rsidR="003572FD" w:rsidRPr="00F24882" w:rsidRDefault="003572FD" w:rsidP="00F24882">
      <w:pPr>
        <w:tabs>
          <w:tab w:val="left" w:pos="283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2.Do Wo</w:t>
      </w:r>
      <w:r w:rsidR="00F24882">
        <w:rPr>
          <w:rFonts w:ascii="Verdana" w:hAnsi="Verdana"/>
          <w:sz w:val="20"/>
          <w:szCs w:val="20"/>
        </w:rPr>
        <w:t xml:space="preserve">jewody zostały wysłane wnioski </w:t>
      </w:r>
      <w:r w:rsidRPr="00F24882">
        <w:rPr>
          <w:rFonts w:ascii="Verdana" w:hAnsi="Verdana"/>
          <w:sz w:val="20"/>
          <w:szCs w:val="20"/>
        </w:rPr>
        <w:t>o wydanie decyzji komunalizacyjnej na nieruchomości położone w Grabowie Wsi i Sobótka Kol.  ( działki szkolne).</w:t>
      </w:r>
    </w:p>
    <w:p w:rsidR="003572FD" w:rsidRPr="00F24882" w:rsidRDefault="003572FD" w:rsidP="00F24882">
      <w:pPr>
        <w:tabs>
          <w:tab w:val="left" w:pos="283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3. Sporządzane są operaty szacunkowe na  nieruchomości  przeznaczone do zbycia w miejscowości Leszno ,Radzyń ,Pociecha i Biała Góra. </w:t>
      </w:r>
    </w:p>
    <w:p w:rsidR="003572FD" w:rsidRPr="00F24882" w:rsidRDefault="003572FD" w:rsidP="00F24882">
      <w:pPr>
        <w:tabs>
          <w:tab w:val="left" w:pos="283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4. Przygotowywany jest wniosek o zasiedzenie do Sądu Rejonowego w Łęczycy nieru</w:t>
      </w:r>
      <w:r w:rsidR="00F24882">
        <w:rPr>
          <w:rFonts w:ascii="Verdana" w:hAnsi="Verdana"/>
          <w:sz w:val="20"/>
          <w:szCs w:val="20"/>
        </w:rPr>
        <w:t>chomości położonej w Kadzidłowej</w:t>
      </w:r>
      <w:r w:rsidRPr="00F24882">
        <w:rPr>
          <w:rFonts w:ascii="Verdana" w:hAnsi="Verdana"/>
          <w:sz w:val="20"/>
          <w:szCs w:val="20"/>
        </w:rPr>
        <w:t xml:space="preserve"> ( </w:t>
      </w:r>
      <w:r w:rsidR="00F24882" w:rsidRPr="00F24882">
        <w:rPr>
          <w:rFonts w:ascii="Verdana" w:hAnsi="Verdana"/>
          <w:sz w:val="20"/>
          <w:szCs w:val="20"/>
        </w:rPr>
        <w:t>była</w:t>
      </w:r>
      <w:r w:rsidRPr="00F24882">
        <w:rPr>
          <w:rFonts w:ascii="Verdana" w:hAnsi="Verdana"/>
          <w:sz w:val="20"/>
          <w:szCs w:val="20"/>
        </w:rPr>
        <w:t xml:space="preserve"> biblioteka).</w:t>
      </w:r>
    </w:p>
    <w:p w:rsidR="00304E80" w:rsidRPr="00F24882" w:rsidRDefault="003572FD" w:rsidP="00F24882">
      <w:pPr>
        <w:tabs>
          <w:tab w:val="left" w:pos="283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5. Zbierane są dokumenty do sporządzenia wniosku do Wojewody na działkę nr 179/2 o pow. 1,36 ha (Nieużytki ), która była w zasobie </w:t>
      </w:r>
      <w:r w:rsidR="00F24882" w:rsidRPr="00F24882">
        <w:rPr>
          <w:rFonts w:ascii="Verdana" w:hAnsi="Verdana"/>
          <w:sz w:val="20"/>
          <w:szCs w:val="20"/>
        </w:rPr>
        <w:t>Agencji</w:t>
      </w:r>
      <w:r w:rsidRPr="00F24882">
        <w:rPr>
          <w:rFonts w:ascii="Verdana" w:hAnsi="Verdana"/>
          <w:sz w:val="20"/>
          <w:szCs w:val="20"/>
        </w:rPr>
        <w:t xml:space="preserve"> Nieruchomości Rolnej i nie została przez nią przejęta.</w:t>
      </w:r>
    </w:p>
    <w:p w:rsidR="00304E80" w:rsidRPr="00F24882" w:rsidRDefault="00304E80" w:rsidP="00F24882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24882">
        <w:rPr>
          <w:rFonts w:ascii="Verdana" w:hAnsi="Verdana"/>
          <w:b/>
          <w:sz w:val="20"/>
          <w:szCs w:val="20"/>
          <w:u w:val="single"/>
        </w:rPr>
        <w:t>W zakresie Inwestycji Gminnych</w:t>
      </w:r>
    </w:p>
    <w:p w:rsidR="003572FD" w:rsidRPr="00F24882" w:rsidRDefault="003572FD" w:rsidP="00AC426E">
      <w:pPr>
        <w:spacing w:after="0" w:line="360" w:lineRule="auto"/>
        <w:ind w:right="-426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>1.W</w:t>
      </w:r>
      <w:r w:rsidR="00AC426E">
        <w:rPr>
          <w:rFonts w:ascii="Verdana" w:hAnsi="Verdana" w:cs="Arial"/>
          <w:sz w:val="20"/>
          <w:szCs w:val="20"/>
        </w:rPr>
        <w:t xml:space="preserve"> </w:t>
      </w:r>
      <w:r w:rsidRPr="00F24882">
        <w:rPr>
          <w:rFonts w:ascii="Verdana" w:hAnsi="Verdana" w:cs="Arial"/>
          <w:sz w:val="20"/>
          <w:szCs w:val="20"/>
        </w:rPr>
        <w:t xml:space="preserve">trakcie realizacji jest inwestycja dotycząca rozbudowy stacji wodociągowej </w:t>
      </w:r>
      <w:r w:rsidR="00F24882">
        <w:rPr>
          <w:rFonts w:ascii="Verdana" w:hAnsi="Verdana" w:cs="Arial"/>
          <w:sz w:val="20"/>
          <w:szCs w:val="20"/>
        </w:rPr>
        <w:t xml:space="preserve">w </w:t>
      </w:r>
      <w:r w:rsidRPr="00F24882">
        <w:rPr>
          <w:rFonts w:ascii="Verdana" w:hAnsi="Verdana" w:cs="Arial"/>
          <w:sz w:val="20"/>
          <w:szCs w:val="20"/>
        </w:rPr>
        <w:t>Grabowie, w obecnej chwili trwają pra</w:t>
      </w:r>
      <w:r w:rsidR="00AC426E">
        <w:rPr>
          <w:rFonts w:ascii="Verdana" w:hAnsi="Verdana" w:cs="Arial"/>
          <w:sz w:val="20"/>
          <w:szCs w:val="20"/>
        </w:rPr>
        <w:t>ce przy budowie budynku stacji</w:t>
      </w:r>
      <w:r w:rsidRPr="00F24882">
        <w:rPr>
          <w:rFonts w:ascii="Verdana" w:hAnsi="Verdana" w:cs="Arial"/>
          <w:sz w:val="20"/>
          <w:szCs w:val="20"/>
        </w:rPr>
        <w:t xml:space="preserve"> wodociągowej, od 19-04  ruszają prace związane z odwiertem studni nr 3. </w:t>
      </w:r>
    </w:p>
    <w:p w:rsidR="003572FD" w:rsidRPr="00F24882" w:rsidRDefault="003572FD" w:rsidP="00F24882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>2</w:t>
      </w:r>
      <w:r w:rsidR="00AC426E">
        <w:rPr>
          <w:rFonts w:ascii="Verdana" w:hAnsi="Verdana" w:cs="Arial"/>
          <w:sz w:val="20"/>
          <w:szCs w:val="20"/>
        </w:rPr>
        <w:t xml:space="preserve">.W </w:t>
      </w:r>
      <w:r w:rsidRPr="00F24882">
        <w:rPr>
          <w:rFonts w:ascii="Verdana" w:hAnsi="Verdana" w:cs="Arial"/>
          <w:sz w:val="20"/>
          <w:szCs w:val="20"/>
        </w:rPr>
        <w:t>trakcie przygotowania jest dokumentacja przetargowa na wybór wykonawcy</w:t>
      </w:r>
      <w:r w:rsidR="00AC426E">
        <w:rPr>
          <w:rFonts w:ascii="Verdana" w:hAnsi="Verdana" w:cs="Arial"/>
          <w:sz w:val="20"/>
          <w:szCs w:val="20"/>
        </w:rPr>
        <w:t xml:space="preserve"> realizację</w:t>
      </w:r>
      <w:r w:rsidRPr="00F24882">
        <w:rPr>
          <w:rFonts w:ascii="Verdana" w:hAnsi="Verdana" w:cs="Arial"/>
          <w:sz w:val="20"/>
          <w:szCs w:val="20"/>
        </w:rPr>
        <w:t xml:space="preserve"> inwestycji pt. Modernizacja drogi dojazdowej w miejscowości  Bowętów –   Sławęcin. Przewidywany termin rozstrzygnięcia postępowania przetargowego 20-05-2</w:t>
      </w:r>
      <w:r w:rsidR="00AC426E">
        <w:rPr>
          <w:rFonts w:ascii="Verdana" w:hAnsi="Verdana" w:cs="Arial"/>
          <w:sz w:val="20"/>
          <w:szCs w:val="20"/>
        </w:rPr>
        <w:t xml:space="preserve">012 r., a rozpoczęcie prac 15 czerwca  zakończenie  30 września </w:t>
      </w:r>
      <w:r w:rsidRPr="00F24882">
        <w:rPr>
          <w:rFonts w:ascii="Verdana" w:hAnsi="Verdana" w:cs="Arial"/>
          <w:sz w:val="20"/>
          <w:szCs w:val="20"/>
        </w:rPr>
        <w:t>2012r.</w:t>
      </w: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>3. Zostało przeprowadzone rozpoznanie cenowe  dotyczące  Budowy sieci wodociągowej – Tranzytowej łączącej sieć wodociągową G</w:t>
      </w:r>
      <w:r w:rsidR="006F41FC">
        <w:rPr>
          <w:rFonts w:ascii="Verdana" w:hAnsi="Verdana" w:cs="Arial"/>
          <w:sz w:val="20"/>
          <w:szCs w:val="20"/>
        </w:rPr>
        <w:t>rabów z siecią wodociągową rejonu Sobótki</w:t>
      </w:r>
      <w:r w:rsidRPr="00F24882">
        <w:rPr>
          <w:rFonts w:ascii="Verdana" w:hAnsi="Verdana" w:cs="Arial"/>
          <w:sz w:val="20"/>
          <w:szCs w:val="20"/>
        </w:rPr>
        <w:t>. Kosztorys inwestorski wynosił 409.080,82 zł brutto, cena wynegocjowana z Gminnym Zakładem Gospodarki Komunalnej i Mieszkaniowej w Grabowie została ustalona w wysokości 23</w:t>
      </w:r>
      <w:r w:rsidR="00C107D6">
        <w:rPr>
          <w:rFonts w:ascii="Verdana" w:hAnsi="Verdana" w:cs="Arial"/>
          <w:sz w:val="20"/>
          <w:szCs w:val="20"/>
        </w:rPr>
        <w:t xml:space="preserve">6.600,00 zł. Planowany termin </w:t>
      </w:r>
      <w:r w:rsidRPr="00F24882">
        <w:rPr>
          <w:rFonts w:ascii="Verdana" w:hAnsi="Verdana" w:cs="Arial"/>
          <w:sz w:val="20"/>
          <w:szCs w:val="20"/>
        </w:rPr>
        <w:t>rozpoczęcia robót maj 2012r</w:t>
      </w:r>
      <w:r w:rsidR="00C107D6">
        <w:rPr>
          <w:rFonts w:ascii="Verdana" w:hAnsi="Verdana" w:cs="Arial"/>
          <w:sz w:val="20"/>
          <w:szCs w:val="20"/>
        </w:rPr>
        <w:t>., a zakończenie</w:t>
      </w:r>
      <w:r w:rsidRPr="00F24882">
        <w:rPr>
          <w:rFonts w:ascii="Verdana" w:hAnsi="Verdana" w:cs="Arial"/>
          <w:sz w:val="20"/>
          <w:szCs w:val="20"/>
        </w:rPr>
        <w:t xml:space="preserve"> 30-09 2012r.</w:t>
      </w: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 xml:space="preserve">    Średnie ceny wykonania 1 mb sieci wodociągowe fi 160 mm:</w:t>
      </w: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 xml:space="preserve">     - średnia cena wg kosztorysu inwestorskiego  127,83 zł</w:t>
      </w: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 xml:space="preserve">     - średnia cena wyceniona wg firmy Hydrowat  z Konina  92,82 zł</w:t>
      </w: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lastRenderedPageBreak/>
        <w:t xml:space="preserve">     - średnia cena wyceniona przez firmę Molewski  z Chodcza  104,56 zł</w:t>
      </w:r>
    </w:p>
    <w:p w:rsidR="003572FD" w:rsidRPr="00F24882" w:rsidRDefault="00C107D6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- </w:t>
      </w:r>
      <w:r w:rsidR="003572FD" w:rsidRPr="00F24882">
        <w:rPr>
          <w:rFonts w:ascii="Verdana" w:hAnsi="Verdana" w:cs="Arial"/>
          <w:sz w:val="20"/>
          <w:szCs w:val="20"/>
        </w:rPr>
        <w:t>średnia cena wyceniona przez firmę Plutecki z Koła  98,40 zł</w:t>
      </w: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 xml:space="preserve">     - średnia cena wyceniona przez GZGKiM w Grabowie 73,94 zł</w:t>
      </w:r>
    </w:p>
    <w:p w:rsidR="003572FD" w:rsidRPr="00F24882" w:rsidRDefault="003572FD" w:rsidP="00AC426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>3. W dniu 20-04-2012 r. zostanie złożony wniosek o pożyczkę na w/w inwestycje w  wysokości  236.600,00 zł do Wojewódzkiego Funduszu Ochrony Środowiska i</w:t>
      </w:r>
      <w:r w:rsidR="00AC426E">
        <w:rPr>
          <w:rFonts w:ascii="Verdana" w:hAnsi="Verdana" w:cs="Arial"/>
          <w:sz w:val="20"/>
          <w:szCs w:val="20"/>
        </w:rPr>
        <w:t xml:space="preserve"> </w:t>
      </w:r>
      <w:r w:rsidRPr="00F24882">
        <w:rPr>
          <w:rFonts w:ascii="Verdana" w:hAnsi="Verdana" w:cs="Arial"/>
          <w:sz w:val="20"/>
          <w:szCs w:val="20"/>
        </w:rPr>
        <w:t>Gospodarki Wodnej w Łodzi. Pożyczka może być umorzona do wysokości 50% po spełnieniu niżej wymienionych warunków:</w:t>
      </w:r>
    </w:p>
    <w:p w:rsidR="003572FD" w:rsidRPr="00F24882" w:rsidRDefault="003572FD" w:rsidP="00AC42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ndara"/>
          <w:color w:val="000000"/>
          <w:sz w:val="20"/>
          <w:szCs w:val="20"/>
        </w:rPr>
      </w:pPr>
      <w:r w:rsidRPr="00F24882">
        <w:rPr>
          <w:rFonts w:ascii="Verdana" w:hAnsi="Verdana" w:cs="Arial"/>
          <w:sz w:val="20"/>
          <w:szCs w:val="20"/>
        </w:rPr>
        <w:t xml:space="preserve">    - </w:t>
      </w:r>
      <w:r w:rsidRPr="00F24882">
        <w:rPr>
          <w:rFonts w:ascii="Verdana" w:hAnsi="Verdana" w:cs="Candara"/>
          <w:color w:val="000000"/>
          <w:sz w:val="20"/>
          <w:szCs w:val="20"/>
        </w:rPr>
        <w:t xml:space="preserve">do </w:t>
      </w:r>
      <w:r w:rsidRPr="00F24882">
        <w:rPr>
          <w:rFonts w:ascii="Verdana" w:hAnsi="Verdana" w:cs="Candara,Bold"/>
          <w:bCs/>
          <w:color w:val="000000"/>
          <w:sz w:val="20"/>
          <w:szCs w:val="20"/>
        </w:rPr>
        <w:t>25%</w:t>
      </w:r>
      <w:r w:rsidRPr="00F24882">
        <w:rPr>
          <w:rFonts w:ascii="Verdana" w:hAnsi="Verdana" w:cs="Candara,Bold"/>
          <w:b/>
          <w:bCs/>
          <w:color w:val="000000"/>
          <w:sz w:val="20"/>
          <w:szCs w:val="20"/>
        </w:rPr>
        <w:t xml:space="preserve"> </w:t>
      </w:r>
      <w:r w:rsidRPr="00F24882">
        <w:rPr>
          <w:rFonts w:ascii="Verdana" w:hAnsi="Verdana" w:cs="Candara,Bold"/>
          <w:bCs/>
          <w:color w:val="000000"/>
          <w:sz w:val="20"/>
          <w:szCs w:val="20"/>
        </w:rPr>
        <w:t xml:space="preserve">po spłaceniu 50% zaciągniętej pożyczki, </w:t>
      </w:r>
    </w:p>
    <w:p w:rsidR="003572FD" w:rsidRPr="00F24882" w:rsidRDefault="00C107D6" w:rsidP="00AC426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ndara"/>
          <w:color w:val="000000"/>
          <w:sz w:val="20"/>
          <w:szCs w:val="20"/>
        </w:rPr>
      </w:pPr>
      <w:r>
        <w:rPr>
          <w:rFonts w:ascii="Verdana" w:hAnsi="Verdana" w:cs="Candara"/>
          <w:color w:val="000000"/>
          <w:sz w:val="20"/>
          <w:szCs w:val="20"/>
        </w:rPr>
        <w:t xml:space="preserve">    -</w:t>
      </w:r>
      <w:r w:rsidR="003572FD" w:rsidRPr="00F24882">
        <w:rPr>
          <w:rFonts w:ascii="Verdana" w:hAnsi="Verdana" w:cs="Candara"/>
          <w:color w:val="000000"/>
          <w:sz w:val="20"/>
          <w:szCs w:val="20"/>
        </w:rPr>
        <w:t>wysokość umorzenia może zostać zwiększona o 10 pkt. gdy wypłata całej kwoty pożyczki na zadanie objęte dofinansowaniem nastąpiła w roku, w którym zawarto umowę ,</w:t>
      </w:r>
    </w:p>
    <w:p w:rsidR="00304E80" w:rsidRPr="00C107D6" w:rsidRDefault="003572FD" w:rsidP="00C107D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ndara"/>
          <w:color w:val="000000"/>
          <w:sz w:val="20"/>
          <w:szCs w:val="20"/>
        </w:rPr>
      </w:pPr>
      <w:r w:rsidRPr="00F24882">
        <w:rPr>
          <w:rFonts w:ascii="Verdana" w:hAnsi="Verdana" w:cs="Candara"/>
          <w:color w:val="000000"/>
          <w:sz w:val="20"/>
          <w:szCs w:val="20"/>
        </w:rPr>
        <w:t xml:space="preserve">    - </w:t>
      </w:r>
      <w:r w:rsidR="006F41FC">
        <w:rPr>
          <w:rFonts w:ascii="Verdana" w:hAnsi="Verdana" w:cs="Candara"/>
          <w:color w:val="000000"/>
          <w:sz w:val="20"/>
          <w:szCs w:val="20"/>
        </w:rPr>
        <w:t xml:space="preserve">15 pkt. </w:t>
      </w:r>
      <w:r w:rsidRPr="00F24882">
        <w:rPr>
          <w:rFonts w:ascii="Verdana" w:hAnsi="Verdana" w:cs="Candara"/>
          <w:color w:val="000000"/>
          <w:sz w:val="20"/>
          <w:szCs w:val="20"/>
        </w:rPr>
        <w:t xml:space="preserve">w przypadku przeznaczenia całości środków pochodzących z </w:t>
      </w:r>
      <w:r w:rsidR="00AC426E">
        <w:rPr>
          <w:rFonts w:ascii="Verdana" w:hAnsi="Verdana" w:cs="Candara"/>
          <w:color w:val="000000"/>
          <w:sz w:val="20"/>
          <w:szCs w:val="20"/>
        </w:rPr>
        <w:t>u</w:t>
      </w:r>
      <w:r w:rsidRPr="00F24882">
        <w:rPr>
          <w:rFonts w:ascii="Verdana" w:hAnsi="Verdana" w:cs="Candara"/>
          <w:color w:val="000000"/>
          <w:sz w:val="20"/>
          <w:szCs w:val="20"/>
        </w:rPr>
        <w:t>morzen</w:t>
      </w:r>
      <w:r w:rsidR="00AC426E">
        <w:rPr>
          <w:rFonts w:ascii="Verdana" w:hAnsi="Verdana" w:cs="Candara"/>
          <w:color w:val="000000"/>
          <w:sz w:val="20"/>
          <w:szCs w:val="20"/>
        </w:rPr>
        <w:t>ia</w:t>
      </w:r>
      <w:r w:rsidRPr="00F24882">
        <w:rPr>
          <w:rFonts w:ascii="Verdana" w:hAnsi="Verdana" w:cs="Candara"/>
          <w:color w:val="000000"/>
          <w:sz w:val="20"/>
          <w:szCs w:val="20"/>
        </w:rPr>
        <w:t xml:space="preserve">  na realizację innego zadania, które zostanie zakończone do 2 lat od daty podjęcia decyzji o umorzeniu </w:t>
      </w:r>
      <w:proofErr w:type="spellStart"/>
      <w:r w:rsidRPr="00F24882">
        <w:rPr>
          <w:rFonts w:ascii="Verdana" w:hAnsi="Verdana" w:cs="Candara"/>
          <w:color w:val="000000"/>
          <w:sz w:val="20"/>
          <w:szCs w:val="20"/>
        </w:rPr>
        <w:t>pożyczki</w:t>
      </w:r>
      <w:r w:rsidR="00AC426E">
        <w:rPr>
          <w:rFonts w:ascii="Verdana" w:hAnsi="Verdana" w:cs="Candara"/>
          <w:color w:val="000000"/>
          <w:sz w:val="20"/>
          <w:szCs w:val="20"/>
        </w:rPr>
        <w:t>.</w:t>
      </w:r>
      <w:r w:rsidR="00C107D6">
        <w:rPr>
          <w:rFonts w:ascii="Verdana" w:hAnsi="Verdana" w:cs="Candara,Bold"/>
          <w:b/>
          <w:bCs/>
          <w:color w:val="FFFFFF"/>
          <w:sz w:val="20"/>
          <w:szCs w:val="20"/>
        </w:rPr>
        <w:t>zeniem</w:t>
      </w:r>
      <w:proofErr w:type="spellEnd"/>
      <w:r w:rsidR="00C107D6">
        <w:rPr>
          <w:rFonts w:ascii="Verdana" w:hAnsi="Verdana" w:cs="Candara,Bold"/>
          <w:b/>
          <w:bCs/>
          <w:color w:val="FFFFFF"/>
          <w:sz w:val="20"/>
          <w:szCs w:val="20"/>
        </w:rPr>
        <w:t xml:space="preserve"> m</w:t>
      </w:r>
    </w:p>
    <w:p w:rsidR="00304E80" w:rsidRPr="00F24882" w:rsidRDefault="00304E80" w:rsidP="00F24882">
      <w:pPr>
        <w:pStyle w:val="Nagwek1"/>
        <w:spacing w:line="360" w:lineRule="auto"/>
        <w:rPr>
          <w:rFonts w:ascii="Verdana" w:hAnsi="Verdana"/>
          <w:sz w:val="20"/>
          <w:u w:val="single"/>
        </w:rPr>
      </w:pPr>
      <w:r w:rsidRPr="00F24882">
        <w:rPr>
          <w:rFonts w:ascii="Verdana" w:hAnsi="Verdana"/>
          <w:sz w:val="20"/>
          <w:u w:val="single"/>
        </w:rPr>
        <w:t>W zakresie działalności księgowości podatkowej</w:t>
      </w:r>
    </w:p>
    <w:p w:rsidR="00304E80" w:rsidRPr="00F24882" w:rsidRDefault="00304E80" w:rsidP="00F24882">
      <w:pPr>
        <w:spacing w:line="360" w:lineRule="auto"/>
        <w:rPr>
          <w:rFonts w:ascii="Verdana" w:hAnsi="Verdana"/>
          <w:sz w:val="20"/>
          <w:szCs w:val="20"/>
        </w:rPr>
      </w:pPr>
    </w:p>
    <w:p w:rsidR="003572FD" w:rsidRPr="00F24882" w:rsidRDefault="003572FD" w:rsidP="00F24882">
      <w:pPr>
        <w:pStyle w:val="Akapitzlist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Przyjęto i rozliczono 666 wniosków dotyczących zwrotu podatku akcyzowego zawartego w cenie paliwa</w:t>
      </w:r>
      <w:r w:rsidR="00AC426E">
        <w:rPr>
          <w:rFonts w:ascii="Verdana" w:hAnsi="Verdana"/>
          <w:sz w:val="20"/>
          <w:szCs w:val="20"/>
        </w:rPr>
        <w:t>.</w:t>
      </w:r>
    </w:p>
    <w:p w:rsidR="003572FD" w:rsidRPr="00F24882" w:rsidRDefault="003572FD" w:rsidP="00F24882">
      <w:pPr>
        <w:pStyle w:val="Akapitzlist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Wydano 666 decyzji przyznających dotyczących zwrotu podatku akcyzowego zawartego w cenie paliwa, 1 odmowne. </w:t>
      </w:r>
    </w:p>
    <w:p w:rsidR="003572FD" w:rsidRPr="00F24882" w:rsidRDefault="003572FD" w:rsidP="00F24882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Powierzchnia użytków rolnych zgłoszonych przez producentów rolnych do wniosku o zwrot podatku wyniosła 8 796,93 ha. Ilość litrów oleju napędowego wykorzystywanego do produkcji rolnej, wynikających z dołączonych przez producentów rolnych do wniosku o zwrot podatku faktur VAT lub kopii tych faktur wyniosła 428 258,17 litrów. Na podstawie złożonych wniosków złożono zapotrzebowanie na kwotę 414 982,16 zł</w:t>
      </w:r>
    </w:p>
    <w:p w:rsidR="003572FD" w:rsidRPr="00F24882" w:rsidRDefault="003572FD" w:rsidP="00F24882">
      <w:pPr>
        <w:pStyle w:val="Akapitzlist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Wszczęto 3 postępowań egzekucyjnych dotyczących zajęcia przyznanych kwot z tyt. zwrotu podatku akcyzowego wobec producentów rolnych na wniosek wierzycieli.</w:t>
      </w:r>
    </w:p>
    <w:p w:rsidR="003572FD" w:rsidRPr="00F24882" w:rsidRDefault="003572FD" w:rsidP="00F24882">
      <w:pPr>
        <w:pStyle w:val="Akapitzlist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Kwoty przyznane producentom rolnym zostaną wypłacone w okresie od 27 kwietnia do 10 maja 2012 bieżącego roku po tym jak wpłynie dotacja z Urzędu Wojewódzkiego. </w:t>
      </w:r>
    </w:p>
    <w:p w:rsidR="003572FD" w:rsidRDefault="00E540DD" w:rsidP="00E540DD">
      <w:pPr>
        <w:pStyle w:val="Akapitzlist"/>
        <w:suppressAutoHyphens w:val="0"/>
        <w:spacing w:after="200" w:line="360" w:lineRule="auto"/>
        <w:ind w:left="720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E540DD">
        <w:rPr>
          <w:rFonts w:ascii="Verdana" w:hAnsi="Verdana"/>
          <w:b/>
          <w:sz w:val="20"/>
          <w:szCs w:val="20"/>
          <w:u w:val="single"/>
        </w:rPr>
        <w:t>W zakresie  Rolnictwa</w:t>
      </w:r>
    </w:p>
    <w:p w:rsidR="00ED51F1" w:rsidRDefault="00E540DD" w:rsidP="00ED51F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51F1">
        <w:rPr>
          <w:rFonts w:ascii="Verdana" w:hAnsi="Verdana"/>
          <w:bCs/>
          <w:sz w:val="20"/>
          <w:szCs w:val="20"/>
        </w:rPr>
        <w:t xml:space="preserve">W związku z wystąpieniem na terenie całej Polski dużych strat w oziminach na skutek wymarznięcia upraw w naszej gminie </w:t>
      </w:r>
      <w:r w:rsidR="00ED51F1" w:rsidRPr="00ED51F1">
        <w:rPr>
          <w:rFonts w:ascii="Verdana" w:hAnsi="Verdana"/>
          <w:bCs/>
          <w:sz w:val="20"/>
          <w:szCs w:val="20"/>
        </w:rPr>
        <w:t>zostały</w:t>
      </w:r>
      <w:r w:rsidRPr="00ED51F1">
        <w:rPr>
          <w:rFonts w:ascii="Verdana" w:hAnsi="Verdana"/>
          <w:bCs/>
          <w:sz w:val="20"/>
          <w:szCs w:val="20"/>
        </w:rPr>
        <w:t xml:space="preserve"> </w:t>
      </w:r>
      <w:r w:rsidR="00ED51F1" w:rsidRPr="00ED51F1">
        <w:rPr>
          <w:rFonts w:ascii="Verdana" w:hAnsi="Verdana"/>
          <w:bCs/>
          <w:sz w:val="20"/>
          <w:szCs w:val="20"/>
        </w:rPr>
        <w:t>podjęte</w:t>
      </w:r>
      <w:r w:rsidRPr="00ED51F1">
        <w:rPr>
          <w:rFonts w:ascii="Verdana" w:hAnsi="Verdana"/>
          <w:bCs/>
          <w:sz w:val="20"/>
          <w:szCs w:val="20"/>
        </w:rPr>
        <w:t xml:space="preserve"> </w:t>
      </w:r>
      <w:r w:rsidR="00ED51F1" w:rsidRPr="00ED51F1">
        <w:rPr>
          <w:rFonts w:ascii="Verdana" w:hAnsi="Verdana"/>
          <w:bCs/>
          <w:sz w:val="20"/>
          <w:szCs w:val="20"/>
        </w:rPr>
        <w:t>działania</w:t>
      </w:r>
      <w:r w:rsidRPr="00ED51F1">
        <w:rPr>
          <w:rFonts w:ascii="Verdana" w:hAnsi="Verdana"/>
          <w:bCs/>
          <w:sz w:val="20"/>
          <w:szCs w:val="20"/>
        </w:rPr>
        <w:t xml:space="preserve"> poprzez </w:t>
      </w:r>
      <w:r w:rsidR="00ED51F1" w:rsidRPr="00ED51F1">
        <w:rPr>
          <w:rFonts w:ascii="Verdana" w:hAnsi="Verdana"/>
          <w:bCs/>
          <w:sz w:val="20"/>
          <w:szCs w:val="20"/>
        </w:rPr>
        <w:t>sołtysów</w:t>
      </w:r>
      <w:r w:rsidRPr="00ED51F1">
        <w:rPr>
          <w:rFonts w:ascii="Verdana" w:hAnsi="Verdana"/>
          <w:bCs/>
          <w:sz w:val="20"/>
          <w:szCs w:val="20"/>
        </w:rPr>
        <w:t xml:space="preserve"> rozpropagowania wśród rolników </w:t>
      </w:r>
      <w:r w:rsidR="00ED51F1" w:rsidRPr="00ED51F1">
        <w:rPr>
          <w:rFonts w:ascii="Verdana" w:hAnsi="Verdana"/>
          <w:bCs/>
          <w:sz w:val="20"/>
          <w:szCs w:val="20"/>
        </w:rPr>
        <w:t xml:space="preserve">zgłoszeń </w:t>
      </w:r>
      <w:r w:rsidRPr="00ED51F1">
        <w:rPr>
          <w:rFonts w:ascii="Verdana" w:hAnsi="Verdana"/>
          <w:bCs/>
          <w:sz w:val="20"/>
          <w:szCs w:val="20"/>
        </w:rPr>
        <w:t>strat w uprawach ozimych z tytułu wymarznięć 2011/2012 rok</w:t>
      </w:r>
      <w:r w:rsidR="00ED51F1">
        <w:rPr>
          <w:rFonts w:ascii="Verdana" w:hAnsi="Verdana"/>
          <w:bCs/>
          <w:sz w:val="20"/>
          <w:szCs w:val="20"/>
        </w:rPr>
        <w:t xml:space="preserve">. </w:t>
      </w:r>
      <w:r w:rsidR="00ED51F1" w:rsidRPr="00ED51F1">
        <w:rPr>
          <w:rFonts w:ascii="Verdana" w:hAnsi="Verdana"/>
          <w:sz w:val="20"/>
          <w:szCs w:val="20"/>
        </w:rPr>
        <w:t xml:space="preserve">Ilość wniosków złożonych przez mieszkańców Gminy Grabów wyniosła </w:t>
      </w:r>
      <w:r w:rsidR="00ED51F1" w:rsidRPr="00ED51F1">
        <w:rPr>
          <w:rFonts w:ascii="Verdana" w:hAnsi="Verdana"/>
          <w:b/>
          <w:sz w:val="20"/>
          <w:szCs w:val="20"/>
        </w:rPr>
        <w:t>680</w:t>
      </w:r>
      <w:r w:rsidR="00ED51F1" w:rsidRPr="00ED51F1">
        <w:rPr>
          <w:rFonts w:ascii="Verdana" w:hAnsi="Verdana"/>
          <w:sz w:val="20"/>
          <w:szCs w:val="20"/>
        </w:rPr>
        <w:t xml:space="preserve"> Łączna ilość ha zniszczonych upraw zimowych wynosi</w:t>
      </w:r>
      <w:r w:rsidR="00ED51F1" w:rsidRPr="00ED51F1">
        <w:rPr>
          <w:rFonts w:ascii="Verdana" w:hAnsi="Verdana"/>
          <w:b/>
          <w:sz w:val="20"/>
          <w:szCs w:val="20"/>
        </w:rPr>
        <w:t xml:space="preserve"> 3537</w:t>
      </w:r>
      <w:r w:rsidR="00ED51F1" w:rsidRPr="00ED51F1">
        <w:rPr>
          <w:rFonts w:ascii="Verdana" w:hAnsi="Verdana"/>
          <w:sz w:val="20"/>
          <w:szCs w:val="20"/>
        </w:rPr>
        <w:t xml:space="preserve"> ha. </w:t>
      </w:r>
    </w:p>
    <w:tbl>
      <w:tblPr>
        <w:tblW w:w="8518" w:type="dxa"/>
        <w:tblInd w:w="285" w:type="dxa"/>
        <w:tblCellMar>
          <w:left w:w="70" w:type="dxa"/>
          <w:right w:w="70" w:type="dxa"/>
        </w:tblCellMar>
        <w:tblLook w:val="04A0"/>
      </w:tblPr>
      <w:tblGrid>
        <w:gridCol w:w="1160"/>
        <w:gridCol w:w="1119"/>
        <w:gridCol w:w="1060"/>
        <w:gridCol w:w="880"/>
        <w:gridCol w:w="840"/>
        <w:gridCol w:w="1080"/>
        <w:gridCol w:w="1007"/>
        <w:gridCol w:w="1372"/>
      </w:tblGrid>
      <w:tr w:rsidR="00ED51F1" w:rsidRPr="00877AF9" w:rsidTr="00C107D6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1F1" w:rsidRPr="00877AF9" w:rsidRDefault="00ED51F1" w:rsidP="008A44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77AF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Pszenica ozima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1F1" w:rsidRPr="00877AF9" w:rsidRDefault="00ED51F1" w:rsidP="008A44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77AF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Pszenżyto ozime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1F1" w:rsidRPr="00877AF9" w:rsidRDefault="00ED51F1" w:rsidP="008A44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77AF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Jęczmień ozimy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1F1" w:rsidRPr="00877AF9" w:rsidRDefault="00ED51F1" w:rsidP="008A44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77AF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Żyto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1F1" w:rsidRPr="00877AF9" w:rsidRDefault="00ED51F1" w:rsidP="008A44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77AF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rzepak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1F1" w:rsidRPr="00877AF9" w:rsidRDefault="00ED51F1" w:rsidP="008A44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77AF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trwałe użytki zielone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1F1" w:rsidRPr="00877AF9" w:rsidRDefault="00ED51F1" w:rsidP="008A44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77AF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uprawy nasienne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51F1" w:rsidRPr="00877AF9" w:rsidRDefault="00ED51F1" w:rsidP="008A44D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877AF9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cebula ozima</w:t>
            </w:r>
          </w:p>
        </w:tc>
      </w:tr>
      <w:tr w:rsidR="00ED51F1" w:rsidRPr="00877AF9" w:rsidTr="00C107D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F1" w:rsidRPr="00877AF9" w:rsidRDefault="00ED51F1" w:rsidP="008A44D4">
            <w:pPr>
              <w:spacing w:after="0" w:line="240" w:lineRule="auto"/>
              <w:jc w:val="both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F1" w:rsidRPr="00877AF9" w:rsidRDefault="00ED51F1" w:rsidP="008A4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F1" w:rsidRPr="00877AF9" w:rsidRDefault="00ED51F1" w:rsidP="008A4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F1" w:rsidRPr="00877AF9" w:rsidRDefault="00ED51F1" w:rsidP="008A4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F1" w:rsidRPr="00877AF9" w:rsidRDefault="00ED51F1" w:rsidP="008A4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77AF9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F1" w:rsidRPr="00877AF9" w:rsidRDefault="00ED51F1" w:rsidP="008A4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F1" w:rsidRPr="00877AF9" w:rsidRDefault="00ED51F1" w:rsidP="008A4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F1" w:rsidRPr="00877AF9" w:rsidRDefault="00ED51F1" w:rsidP="008A4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</w:tbl>
    <w:p w:rsidR="00E540DD" w:rsidRPr="00ED51F1" w:rsidRDefault="00E540DD" w:rsidP="00ED51F1">
      <w:pPr>
        <w:spacing w:line="36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3572FD" w:rsidRPr="00F24882" w:rsidRDefault="003572FD" w:rsidP="00AC426E">
      <w:pPr>
        <w:pStyle w:val="Akapitzlist"/>
        <w:spacing w:line="360" w:lineRule="auto"/>
        <w:ind w:left="72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24882">
        <w:rPr>
          <w:rFonts w:ascii="Verdana" w:hAnsi="Verdana" w:cs="Arial"/>
          <w:b/>
          <w:sz w:val="20"/>
          <w:szCs w:val="20"/>
          <w:u w:val="single"/>
        </w:rPr>
        <w:lastRenderedPageBreak/>
        <w:t xml:space="preserve">W zakresie działalności </w:t>
      </w:r>
      <w:r w:rsidR="00AC426E">
        <w:rPr>
          <w:rFonts w:ascii="Verdana" w:hAnsi="Verdana" w:cs="Arial"/>
          <w:b/>
          <w:sz w:val="20"/>
          <w:szCs w:val="20"/>
          <w:u w:val="single"/>
        </w:rPr>
        <w:t>Gminnej Biblioteki P</w:t>
      </w:r>
      <w:r w:rsidRPr="00F24882">
        <w:rPr>
          <w:rFonts w:ascii="Verdana" w:hAnsi="Verdana" w:cs="Arial"/>
          <w:b/>
          <w:sz w:val="20"/>
          <w:szCs w:val="20"/>
          <w:u w:val="single"/>
        </w:rPr>
        <w:t>ublicznej</w:t>
      </w:r>
    </w:p>
    <w:p w:rsidR="003572FD" w:rsidRPr="00F24882" w:rsidRDefault="003572FD" w:rsidP="00F24882">
      <w:pPr>
        <w:pStyle w:val="Akapitzlist"/>
        <w:spacing w:line="360" w:lineRule="auto"/>
        <w:ind w:left="720"/>
        <w:rPr>
          <w:rFonts w:ascii="Verdana" w:hAnsi="Verdana" w:cs="Arial"/>
          <w:b/>
          <w:sz w:val="20"/>
          <w:szCs w:val="20"/>
          <w:u w:val="single"/>
        </w:rPr>
      </w:pPr>
    </w:p>
    <w:p w:rsidR="003572FD" w:rsidRPr="00F24882" w:rsidRDefault="003572FD" w:rsidP="00F24882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W ramach programu ogólnopolskiego „Cała Polska czyta dzieciom” w Gminnej Bibliotece Publicznej w Grabowie przeprowadzono głośne czytanie bajki oraz lekcję biblioteczną na temat „Poszanowania książek”. </w:t>
      </w:r>
    </w:p>
    <w:p w:rsidR="003572FD" w:rsidRPr="00F24882" w:rsidRDefault="003572FD" w:rsidP="00F248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W imprezie udział wzięła pierwsza klasa Szkoły Podstawowej w Grabowie z wychowawczynią Panią Anna Kołakowską.</w:t>
      </w:r>
    </w:p>
    <w:p w:rsidR="003572FD" w:rsidRPr="00F24882" w:rsidRDefault="003572FD" w:rsidP="00F248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Głośnie czytanie bajki przeprowadził Pan Zbigniew Sobczyński. Na zakończenie dzieci namalowały piękne pisanki. Spotkanie upłynęło w miłej atmosferze.</w:t>
      </w:r>
    </w:p>
    <w:p w:rsidR="003572FD" w:rsidRPr="00F24882" w:rsidRDefault="003572FD" w:rsidP="00F248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W Grabowie wykonano także wystawkę książek „Robótki ręczne” oraz ekspozycję pt. „Serwetki do koszyczka wielkanocnego”. </w:t>
      </w:r>
    </w:p>
    <w:p w:rsidR="003572FD" w:rsidRPr="00F24882" w:rsidRDefault="003572FD" w:rsidP="00F248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Serwetki oraz pisanki wykonała Pani Marzena Kubiak z Grabowa. Prezentacja prac będzie czynna do końca kwietnia.</w:t>
      </w:r>
    </w:p>
    <w:p w:rsidR="003572FD" w:rsidRPr="00F24882" w:rsidRDefault="003572FD" w:rsidP="00F248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Filia Kadzidłowa przeprowadziła w bibliotece dla czytelniczek spotkanie z okazji Dnia Kobiet oraz pokaz makijażu dla pań. W spotkaniu uczestniczyło 21 pań, a prezentację na zaproszenie  bibliotekarki przeprowadziła pani Kamila Duczyńska przedstawicielka Avon. </w:t>
      </w:r>
    </w:p>
    <w:p w:rsidR="003572FD" w:rsidRPr="00F24882" w:rsidRDefault="003572FD" w:rsidP="00F248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Filia Besiekiery zorganizowała spotkanie na którym czytelnicy uczyli się wykonywania palemek i ozdób świątecznych z bibuły. </w:t>
      </w:r>
    </w:p>
    <w:p w:rsidR="003572FD" w:rsidRPr="00F24882" w:rsidRDefault="003572FD" w:rsidP="00F2488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W Filii Stara Sobótka znajduje się wystawka nowości książkowych z wydawnictwa Akapit-Press. Przedstawicielka wydawnictwa zaprezentuje nowości wydawnicze, które można nabyć po promocyjnych cenach do własnych zbiorów. Druga część spotkania przewiduje prezentację multimedialną  dla młodzieży i głośne czytanie dla dzieci. </w:t>
      </w:r>
    </w:p>
    <w:p w:rsidR="003572FD" w:rsidRPr="00F24882" w:rsidRDefault="003572FD" w:rsidP="00F24882">
      <w:pPr>
        <w:pStyle w:val="Akapitzlist"/>
        <w:spacing w:line="360" w:lineRule="auto"/>
        <w:ind w:left="720"/>
        <w:rPr>
          <w:rFonts w:ascii="Verdana" w:hAnsi="Verdana" w:cs="Arial"/>
          <w:b/>
          <w:sz w:val="20"/>
          <w:szCs w:val="20"/>
          <w:u w:val="single"/>
        </w:rPr>
      </w:pPr>
    </w:p>
    <w:p w:rsidR="00F24882" w:rsidRDefault="003572FD" w:rsidP="00AC426E">
      <w:pPr>
        <w:pStyle w:val="Akapitzlist"/>
        <w:spacing w:line="360" w:lineRule="auto"/>
        <w:ind w:left="720"/>
        <w:rPr>
          <w:rFonts w:ascii="Verdana" w:hAnsi="Verdana" w:cs="Arial"/>
          <w:b/>
          <w:sz w:val="20"/>
          <w:szCs w:val="20"/>
          <w:u w:val="single"/>
        </w:rPr>
      </w:pPr>
      <w:r w:rsidRPr="00F24882">
        <w:rPr>
          <w:rFonts w:ascii="Verdana" w:hAnsi="Verdana" w:cs="Arial"/>
          <w:b/>
          <w:sz w:val="20"/>
          <w:szCs w:val="20"/>
          <w:u w:val="single"/>
        </w:rPr>
        <w:t xml:space="preserve">W zakresie działalności </w:t>
      </w:r>
      <w:r w:rsidR="00AC426E">
        <w:rPr>
          <w:rFonts w:ascii="Verdana" w:hAnsi="Verdana" w:cs="Arial"/>
          <w:b/>
          <w:sz w:val="20"/>
          <w:szCs w:val="20"/>
          <w:u w:val="single"/>
        </w:rPr>
        <w:t>Gminnego Ośrod</w:t>
      </w:r>
      <w:r w:rsidR="00AC426E" w:rsidRPr="00F24882">
        <w:rPr>
          <w:rFonts w:ascii="Verdana" w:hAnsi="Verdana" w:cs="Arial"/>
          <w:b/>
          <w:sz w:val="20"/>
          <w:szCs w:val="20"/>
          <w:u w:val="single"/>
        </w:rPr>
        <w:t>ka</w:t>
      </w:r>
      <w:r w:rsidRPr="00F24882">
        <w:rPr>
          <w:rFonts w:ascii="Verdana" w:hAnsi="Verdana" w:cs="Arial"/>
          <w:b/>
          <w:sz w:val="20"/>
          <w:szCs w:val="20"/>
          <w:u w:val="single"/>
        </w:rPr>
        <w:t xml:space="preserve"> Pomocy Społecznej</w:t>
      </w:r>
    </w:p>
    <w:p w:rsidR="00AC426E" w:rsidRPr="00AC426E" w:rsidRDefault="00AC426E" w:rsidP="00AC426E">
      <w:pPr>
        <w:pStyle w:val="Akapitzlist"/>
        <w:spacing w:line="360" w:lineRule="auto"/>
        <w:ind w:left="720"/>
        <w:rPr>
          <w:rFonts w:ascii="Verdana" w:hAnsi="Verdana" w:cs="Arial"/>
          <w:b/>
          <w:sz w:val="20"/>
          <w:szCs w:val="20"/>
          <w:u w:val="single"/>
        </w:rPr>
      </w:pP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>Wydano 7 decyzji ustalającej prawo do przyznania zasiłku stałego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>Podjęto 92 decyzji przyznających prawo do zasiłku okresowego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>Wydano 76 decyzji dotyczących zasiłku celowego na dofinansowanie zakupu artykułów żywnościowych, opału, leków oraz uregulowania zaległości za energię elektryczną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 xml:space="preserve">Podjęto 51 decyzji przyznającego prawo do zasiłku celowego w ramach dożywiania 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>Podjęto 27 decyzji dotyczących przyznania posiłku dla dzieci w placówkach szkolnych dla 60 dzieci. Jednocześnie w okresie od 01.01.2012 do 30.06</w:t>
      </w:r>
      <w:r w:rsidR="00AC426E" w:rsidRPr="00AC426E">
        <w:rPr>
          <w:rFonts w:ascii="Verdana" w:hAnsi="Verdana"/>
          <w:sz w:val="20"/>
          <w:szCs w:val="20"/>
        </w:rPr>
        <w:t xml:space="preserve">.2012 r.  </w:t>
      </w:r>
      <w:r w:rsidRPr="00AC426E">
        <w:rPr>
          <w:rFonts w:ascii="Verdana" w:hAnsi="Verdana"/>
          <w:sz w:val="20"/>
          <w:szCs w:val="20"/>
        </w:rPr>
        <w:t>w placówkach szkolnych dożywianych jest 292 dzieci.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 xml:space="preserve">Wydano 24 decyzji przyznających usługi opiekuńcze 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 xml:space="preserve">Podjęto 1 decyzje dotyczącą przyznania zasiłku celowego na pokrycie wydatków powstałych w wyniku zdarzenia losowego 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>Wydano 1 decyzję w związku z sprawieniem pogrzebu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lastRenderedPageBreak/>
        <w:t>Wydano 3 decyzje skierowujące do domu pomocy społecznej oraz ustalające odpłatność gminy za pobyt w DPS</w:t>
      </w:r>
    </w:p>
    <w:p w:rsidR="00F24882" w:rsidRPr="00AC426E" w:rsidRDefault="00F24882" w:rsidP="00AC426E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>Wydano 2 decyzję przyznającą wynagrodzenie należne opiekunowi z tytułu sprawowania opieki</w:t>
      </w:r>
    </w:p>
    <w:p w:rsidR="00F24882" w:rsidRPr="00C107D6" w:rsidRDefault="00F24882" w:rsidP="00C107D6">
      <w:pPr>
        <w:pStyle w:val="Akapitzlist"/>
        <w:numPr>
          <w:ilvl w:val="0"/>
          <w:numId w:val="9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AC426E">
        <w:rPr>
          <w:rFonts w:ascii="Verdana" w:hAnsi="Verdana"/>
          <w:sz w:val="20"/>
          <w:szCs w:val="20"/>
        </w:rPr>
        <w:t>Podjęto 15 decyzji ustalających prawo do dodatku mieszkaniowego.</w:t>
      </w:r>
    </w:p>
    <w:p w:rsidR="00F24882" w:rsidRPr="00F24882" w:rsidRDefault="00F24882" w:rsidP="00AC426E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24882">
        <w:rPr>
          <w:rFonts w:ascii="Verdana" w:hAnsi="Verdana"/>
          <w:b/>
          <w:sz w:val="20"/>
          <w:szCs w:val="20"/>
          <w:u w:val="single"/>
        </w:rPr>
        <w:t>Zespół interdyscyplinarny</w:t>
      </w:r>
    </w:p>
    <w:p w:rsidR="00F24882" w:rsidRPr="00F24882" w:rsidRDefault="00F24882" w:rsidP="00F24882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ab/>
        <w:t>Powołano zespół interdyscyplinarny ds. przeciwdziałania przemocy w rodzinie                  w ramach nowelizacji ustawy o przeciwdziałaniu przemocy w rodzinie. W ramach zespołu interdyscyplinarnego wsparciem w I kwartale 2012 r. objęto 2 rodziny.</w:t>
      </w:r>
    </w:p>
    <w:p w:rsidR="00F24882" w:rsidRPr="00F24882" w:rsidRDefault="00F24882" w:rsidP="00F24882">
      <w:pPr>
        <w:widowControl w:val="0"/>
        <w:tabs>
          <w:tab w:val="left" w:pos="851"/>
        </w:tabs>
        <w:suppressAutoHyphens/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F24882" w:rsidRPr="00F24882" w:rsidRDefault="00F24882" w:rsidP="00AC426E">
      <w:pPr>
        <w:widowControl w:val="0"/>
        <w:tabs>
          <w:tab w:val="left" w:pos="851"/>
        </w:tabs>
        <w:suppressAutoHyphens/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24882">
        <w:rPr>
          <w:rFonts w:ascii="Verdana" w:hAnsi="Verdana"/>
          <w:b/>
          <w:sz w:val="20"/>
          <w:szCs w:val="20"/>
          <w:u w:val="single"/>
        </w:rPr>
        <w:t>Działalność świetlic środowiskowych</w:t>
      </w:r>
    </w:p>
    <w:p w:rsidR="00F24882" w:rsidRPr="00F24882" w:rsidRDefault="00F24882" w:rsidP="00F2488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Codziennie realizowane są zajęcia w ilości 6 godzin w świetlicy środowiskowej              w Grabowie oraz w ilości 4 godzin w Świetlicy Środowiskowej w Starej Sobótce.                        W zajęciach bierze udział około 55 osób. Przy świetlicy w Grabowie działa klub integracyjny w którym uczestniczy około 15 osób.</w:t>
      </w:r>
    </w:p>
    <w:p w:rsidR="00F24882" w:rsidRPr="00F24882" w:rsidRDefault="00F24882" w:rsidP="00F2488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24882" w:rsidRDefault="00F24882" w:rsidP="00AC426E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24882">
        <w:rPr>
          <w:rFonts w:ascii="Verdana" w:hAnsi="Verdana"/>
          <w:b/>
          <w:sz w:val="20"/>
          <w:szCs w:val="20"/>
          <w:u w:val="single"/>
        </w:rPr>
        <w:t>Świadczenia rodzinne i fundusz alimentacyjny</w:t>
      </w:r>
    </w:p>
    <w:p w:rsidR="00AC426E" w:rsidRPr="00F24882" w:rsidRDefault="00AC426E" w:rsidP="00AC426E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24882" w:rsidRPr="00F24882" w:rsidRDefault="00F24882" w:rsidP="00AC426E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Podjęto 20 decyzji w sprawie przyznania wnioskodawcom prawa do zasiłku rodzinnego wraz z dodatkami </w:t>
      </w:r>
    </w:p>
    <w:p w:rsidR="00F24882" w:rsidRPr="00F24882" w:rsidRDefault="00F24882" w:rsidP="00AC426E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Wydano 11 decyzji ustalających prawo do świadczenia pielęgnacyjnego </w:t>
      </w:r>
    </w:p>
    <w:p w:rsidR="00F24882" w:rsidRPr="00F24882" w:rsidRDefault="00F24882" w:rsidP="00AC426E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Podjęto 19 decyzji przyznających prawo do rządowego programu wspierania niektórych osób pobierających świadczenie pielęgnacyjne</w:t>
      </w:r>
    </w:p>
    <w:p w:rsidR="00F24882" w:rsidRPr="00F24882" w:rsidRDefault="00F24882" w:rsidP="00AC426E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Wydano 10 decyzji ustalających prawo do zasiłku pielęgnacyjnego</w:t>
      </w:r>
    </w:p>
    <w:p w:rsidR="00F24882" w:rsidRPr="00F24882" w:rsidRDefault="00F24882" w:rsidP="00AC426E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Podjęto 9 decyzje przyznające jednorazową zapomogę z tytułu urodzenia dziecka</w:t>
      </w:r>
    </w:p>
    <w:p w:rsidR="00F24882" w:rsidRPr="00F24882" w:rsidRDefault="00F24882" w:rsidP="00AC426E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Wydano 1 decyzji ustalających prawo do świadczeń z funduszu alimentacyjnego</w:t>
      </w:r>
    </w:p>
    <w:p w:rsidR="00F24882" w:rsidRPr="00F24882" w:rsidRDefault="00F24882" w:rsidP="00AC426E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Prowadzone jest postępowanie w sprawie koordynacji zasiłku rodzinnego w stosunku do 9 osób w sprawie wydania decyzji przez Marszałka Województwa.</w:t>
      </w:r>
    </w:p>
    <w:p w:rsidR="00F24882" w:rsidRPr="00F24882" w:rsidRDefault="00F24882" w:rsidP="00F24882">
      <w:pPr>
        <w:pStyle w:val="Akapitzlist"/>
        <w:tabs>
          <w:tab w:val="left" w:pos="709"/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24882" w:rsidRPr="00F24882" w:rsidRDefault="00F24882" w:rsidP="00F24882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ab/>
        <w:t>W związku z przyznaniem świadczeń z funduszu alimentacyjnego zgodnie z ustawą           o pomocy osobom uprawnionym do alimentów prowadzone jest postępowanie administracyjne oraz postępowanie egzekucyjne wobec dłużników alimentacyjnych: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Przeprowadzono wywiady alimentacyjne z 14 dłużnikami alimentacyjnymi i o ich efektach powiadomiono komorników sądowych oraz organy właściwe wierzycieli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Wystąpiono do PUP w Łęczycy z  4 wnioskami o aktywizację zawodowa dłużnika 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Tutejszy organ zobowiązał 1 dłużnika alimentacyjnego do zarejestrowania się                     w urzędzie pracy jako bezrobotny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GOPS w Grabowie jako organ właściwy wierzyciela co miesiąc przekazuje aktualne informacje do Biura Informacji Gospodarczej o zobowiązaniach z tytułu wypłaconych świadczeń z funduszu alimentacyjnych dotycząca 35 dłużników alimentacyjnych.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 Podjęto 24 decyzji dotyczących zwrotu przez dłużników alimentacyjnych wypłaconych świadczeń z funduszu alimentacyjnego.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lastRenderedPageBreak/>
        <w:t xml:space="preserve">Do dłużników alimentacyjnych w stosunku co do których prowadzone jest postępowanie w sprawie zwrotu należności z tytułu wypłaconych świadczeń z FA za okres 2010/2011 wystawiono 59 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Postępowanie egzekucyjne z funduszu alimentacyjnego  prowadzone jest w stosunku do 36 dłużników alimentacyjnych za okres świadczeniowy 2008/2009 oraz 2009/2010,             w związku z powyższym na bieżąco GOPS w Grabowie informuje urzędy skarbowe                       o zmianach kwot zadłużenia w związku z bezpośrednimi wpłatami dokonywanymi przez dłużników alimentacyjnych.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 xml:space="preserve"> Na bieżąco rozliczane są wpłaty dłużników alimentacyjnych, komorników sądowych oraz organów właściwych wierzyciela w celu pomniejszenia wysokości zadłużenia. </w:t>
      </w:r>
    </w:p>
    <w:p w:rsidR="00F24882" w:rsidRPr="00F24882" w:rsidRDefault="00F24882" w:rsidP="00F24882">
      <w:pPr>
        <w:pStyle w:val="Akapitzlist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Zgodnie z art. 5 ust. 3 ustawy z dnia 7 września 2007 r. (Dz. U. z 2009 r., Nr 1, poz. 7) w stosunku do 11 dłużników wszczęto postępowanie dotyczące uznania dłużnika alimentacyjnego za uchylającego się od zobowiązań alimentacyjnych</w:t>
      </w:r>
      <w:r w:rsidR="00AC426E">
        <w:rPr>
          <w:rFonts w:ascii="Verdana" w:hAnsi="Verdana"/>
          <w:sz w:val="20"/>
          <w:szCs w:val="20"/>
        </w:rPr>
        <w:t>.</w:t>
      </w:r>
    </w:p>
    <w:p w:rsidR="00F24882" w:rsidRPr="00F24882" w:rsidRDefault="00F24882" w:rsidP="00F24882">
      <w:pPr>
        <w:widowControl w:val="0"/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24882" w:rsidRDefault="00F24882" w:rsidP="00F24882">
      <w:pPr>
        <w:tabs>
          <w:tab w:val="left" w:pos="851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Ponadto w ramach działalności Gminnego Ośrodka Pomocy Społecznej w Grabowie na bieżąco prowadzona jest praca socjalna m. in. poradnictwo, które ma charakter pomocy doraźnej w szczególnie nagłych przypadkach, wymagających natychmiastowego działania. Współpraca z sądem, kuratorami, policją, służbą zdrowia, placówkami oświatowymi, poradniami, PCPR, Powiatowym Zespołem do spraw Orzekania o Niepełnosprawności, PEFRON, Urzędem do Spraw Kombatantów i Osób Represjonowanych, zespół charytatywny przy Kościele Parafialnym, stowarzyszenia i fundacje, KRUS, ZUS, PUP, WUP, GZGKiM, sołtysami, radnymi, oraz władzami gminy.</w:t>
      </w:r>
    </w:p>
    <w:p w:rsidR="00F24882" w:rsidRPr="00C107D6" w:rsidRDefault="00F24882" w:rsidP="00C107D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572FD" w:rsidRPr="00F97669" w:rsidRDefault="00F97669" w:rsidP="00F97669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W zakresie </w:t>
      </w:r>
      <w:r w:rsidR="003572FD" w:rsidRPr="00F97669">
        <w:rPr>
          <w:rFonts w:ascii="Verdana" w:hAnsi="Verdana" w:cs="Arial"/>
          <w:b/>
          <w:sz w:val="20"/>
          <w:szCs w:val="20"/>
          <w:u w:val="single"/>
        </w:rPr>
        <w:t xml:space="preserve">  Gminnego </w:t>
      </w:r>
      <w:r w:rsidRPr="00F97669">
        <w:rPr>
          <w:rFonts w:ascii="Verdana" w:hAnsi="Verdana" w:cs="Arial"/>
          <w:b/>
          <w:sz w:val="20"/>
          <w:szCs w:val="20"/>
          <w:u w:val="single"/>
        </w:rPr>
        <w:t>Zakładu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Gospodarki Komunalno-</w:t>
      </w:r>
      <w:r w:rsidR="003572FD" w:rsidRPr="00F97669">
        <w:rPr>
          <w:rFonts w:ascii="Verdana" w:hAnsi="Verdana" w:cs="Arial"/>
          <w:b/>
          <w:sz w:val="20"/>
          <w:szCs w:val="20"/>
          <w:u w:val="single"/>
        </w:rPr>
        <w:t>Mieszkaniowej.</w:t>
      </w:r>
    </w:p>
    <w:p w:rsidR="00F24882" w:rsidRPr="00C107D6" w:rsidRDefault="00F24882" w:rsidP="00C107D6">
      <w:pPr>
        <w:pStyle w:val="Bezodstpw"/>
        <w:numPr>
          <w:ilvl w:val="0"/>
          <w:numId w:val="7"/>
        </w:numPr>
        <w:spacing w:line="360" w:lineRule="auto"/>
        <w:ind w:left="284"/>
        <w:jc w:val="both"/>
        <w:rPr>
          <w:rFonts w:ascii="Verdana" w:hAnsi="Verdana" w:cs="Times New Roman"/>
          <w:i/>
          <w:sz w:val="20"/>
          <w:szCs w:val="20"/>
        </w:rPr>
      </w:pPr>
      <w:r w:rsidRPr="00C107D6">
        <w:rPr>
          <w:rFonts w:ascii="Verdana" w:hAnsi="Verdana" w:cs="Times New Roman"/>
          <w:i/>
          <w:sz w:val="20"/>
          <w:szCs w:val="20"/>
        </w:rPr>
        <w:t>W zakresie zaopatrzenia w wodę:</w:t>
      </w:r>
    </w:p>
    <w:p w:rsidR="00F24882" w:rsidRPr="00F24882" w:rsidRDefault="00F24882" w:rsidP="00C107D6">
      <w:pPr>
        <w:pStyle w:val="Bezodstpw"/>
        <w:spacing w:line="36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F24882">
        <w:rPr>
          <w:rFonts w:ascii="Verdana" w:hAnsi="Verdana" w:cs="Times New Roman"/>
          <w:sz w:val="20"/>
          <w:szCs w:val="20"/>
        </w:rPr>
        <w:t>Zanotowano i usunięto 103 awarie i usterki wodociągowe w tym 13 na sieci. Silny mróz spowodował zamarzniecie 39 przyłączy wodociągowych w  różnym stopniu począwszy od zamarzniętych wodomierzy do zamrożenia całych przyłączy w ziemi.</w:t>
      </w:r>
    </w:p>
    <w:p w:rsidR="00F24882" w:rsidRPr="00F24882" w:rsidRDefault="00F24882" w:rsidP="00C107D6">
      <w:pPr>
        <w:pStyle w:val="Bezodstpw"/>
        <w:spacing w:line="36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F24882">
        <w:rPr>
          <w:rFonts w:ascii="Verdana" w:hAnsi="Verdana" w:cs="Times New Roman"/>
          <w:sz w:val="20"/>
          <w:szCs w:val="20"/>
        </w:rPr>
        <w:t xml:space="preserve">Problemem jest także zła jakość rur na sieci PCV fi 225 mm w Byszewie na odcinku ok. 250 </w:t>
      </w:r>
      <w:proofErr w:type="spellStart"/>
      <w:r w:rsidRPr="00F24882">
        <w:rPr>
          <w:rFonts w:ascii="Verdana" w:hAnsi="Verdana" w:cs="Times New Roman"/>
          <w:sz w:val="20"/>
          <w:szCs w:val="20"/>
        </w:rPr>
        <w:t>mb</w:t>
      </w:r>
      <w:proofErr w:type="spellEnd"/>
      <w:r w:rsidRPr="00F24882">
        <w:rPr>
          <w:rFonts w:ascii="Verdana" w:hAnsi="Verdana" w:cs="Times New Roman"/>
          <w:sz w:val="20"/>
          <w:szCs w:val="20"/>
        </w:rPr>
        <w:t>. W ostatnim okresie wystąpiło tam 6 awarii. Siec przebiega przez pola uprawne.</w:t>
      </w:r>
    </w:p>
    <w:p w:rsidR="00F24882" w:rsidRPr="00F24882" w:rsidRDefault="00F24882" w:rsidP="00C107D6">
      <w:pPr>
        <w:pStyle w:val="Bezodstpw"/>
        <w:spacing w:line="36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F24882">
        <w:rPr>
          <w:rFonts w:ascii="Verdana" w:hAnsi="Verdana" w:cs="Times New Roman"/>
          <w:sz w:val="20"/>
          <w:szCs w:val="20"/>
        </w:rPr>
        <w:t>Trudna sytuacja jest na stacji hydroforowej w Chorkach. Coraz trudniej jest utrzymać parametry wody uzdatnionej zgodnie z obowiązującymi normami. W ostatnim okresie nastąpił spadek ciśnienia pobieranej wody o 50 %. Powodem mogą być skorodowane rury, zużycie pompy lub okresowy brak wody w studni.</w:t>
      </w:r>
      <w:r w:rsidR="00F97669">
        <w:rPr>
          <w:rFonts w:ascii="Verdana" w:hAnsi="Verdana" w:cs="Times New Roman"/>
          <w:sz w:val="20"/>
          <w:szCs w:val="20"/>
        </w:rPr>
        <w:t xml:space="preserve"> </w:t>
      </w:r>
      <w:r w:rsidRPr="00F24882">
        <w:rPr>
          <w:rFonts w:ascii="Verdana" w:hAnsi="Verdana" w:cs="Times New Roman"/>
          <w:sz w:val="20"/>
          <w:szCs w:val="20"/>
        </w:rPr>
        <w:t>Na obecną chwile rejon ten zaopatrywany jest ze stacji Grabów.</w:t>
      </w:r>
    </w:p>
    <w:p w:rsidR="00F24882" w:rsidRPr="00F24882" w:rsidRDefault="00F24882" w:rsidP="00C107D6">
      <w:pPr>
        <w:pStyle w:val="Bezodstpw"/>
        <w:spacing w:line="36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F24882">
        <w:rPr>
          <w:rFonts w:ascii="Verdana" w:hAnsi="Verdana" w:cs="Times New Roman"/>
          <w:sz w:val="20"/>
          <w:szCs w:val="20"/>
        </w:rPr>
        <w:t>Wszczęto 79 postępowań w sprawie zamknięcia przyłącza wodociągowego.</w:t>
      </w:r>
    </w:p>
    <w:p w:rsidR="00F24882" w:rsidRPr="00F24882" w:rsidRDefault="00F24882" w:rsidP="00C107D6">
      <w:pPr>
        <w:pStyle w:val="Bezodstpw"/>
        <w:spacing w:line="36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F24882">
        <w:rPr>
          <w:rFonts w:ascii="Verdana" w:hAnsi="Verdana" w:cs="Times New Roman"/>
          <w:sz w:val="20"/>
          <w:szCs w:val="20"/>
        </w:rPr>
        <w:t xml:space="preserve">Wykonano 7 nowych przyłączy wodociągowych o łącznej długości ok. 300 </w:t>
      </w:r>
      <w:proofErr w:type="spellStart"/>
      <w:r w:rsidRPr="00F24882">
        <w:rPr>
          <w:rFonts w:ascii="Verdana" w:hAnsi="Verdana" w:cs="Times New Roman"/>
          <w:sz w:val="20"/>
          <w:szCs w:val="20"/>
        </w:rPr>
        <w:t>mb</w:t>
      </w:r>
      <w:proofErr w:type="spellEnd"/>
      <w:r w:rsidRPr="00F24882">
        <w:rPr>
          <w:rFonts w:ascii="Verdana" w:hAnsi="Verdana" w:cs="Times New Roman"/>
          <w:sz w:val="20"/>
          <w:szCs w:val="20"/>
        </w:rPr>
        <w:t>.</w:t>
      </w:r>
    </w:p>
    <w:p w:rsidR="00F24882" w:rsidRPr="00F24882" w:rsidRDefault="00F24882" w:rsidP="00C107D6">
      <w:pPr>
        <w:pStyle w:val="Bezodstpw"/>
        <w:numPr>
          <w:ilvl w:val="0"/>
          <w:numId w:val="7"/>
        </w:numPr>
        <w:spacing w:line="36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F24882">
        <w:rPr>
          <w:rFonts w:ascii="Verdana" w:hAnsi="Verdana" w:cs="Times New Roman"/>
          <w:sz w:val="20"/>
          <w:szCs w:val="20"/>
        </w:rPr>
        <w:t>Silne mrozy spowodowały zamarznięcie odpływów w oczyszczalniach przy szkołach, Kotkowie i Nagórkach. Ścieki usuwano za pomocą przyczepy asenizacyjnej. Awarii uległy 3 pompy.</w:t>
      </w:r>
    </w:p>
    <w:p w:rsidR="00F24882" w:rsidRPr="00F24882" w:rsidRDefault="00F24882" w:rsidP="00C107D6">
      <w:pPr>
        <w:pStyle w:val="Bezodstpw"/>
        <w:numPr>
          <w:ilvl w:val="0"/>
          <w:numId w:val="7"/>
        </w:numPr>
        <w:spacing w:line="360" w:lineRule="auto"/>
        <w:ind w:left="284"/>
        <w:jc w:val="both"/>
        <w:rPr>
          <w:rFonts w:ascii="Verdana" w:hAnsi="Verdana" w:cs="Times New Roman"/>
          <w:sz w:val="20"/>
          <w:szCs w:val="20"/>
        </w:rPr>
      </w:pPr>
      <w:r w:rsidRPr="00F24882">
        <w:rPr>
          <w:rFonts w:ascii="Verdana" w:hAnsi="Verdana" w:cs="Times New Roman"/>
          <w:sz w:val="20"/>
          <w:szCs w:val="20"/>
        </w:rPr>
        <w:lastRenderedPageBreak/>
        <w:t>Usunięto nieczystości z ulic, placów i chodników po okresie zimowym.  Wybiałkowano krawężniki.</w:t>
      </w:r>
    </w:p>
    <w:p w:rsidR="00F24882" w:rsidRPr="00F24882" w:rsidRDefault="00F24882" w:rsidP="00F2488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04E80" w:rsidRPr="00F24882" w:rsidRDefault="00304E80" w:rsidP="00F24882">
      <w:pPr>
        <w:pStyle w:val="Nagwek1"/>
        <w:spacing w:line="360" w:lineRule="auto"/>
        <w:rPr>
          <w:rFonts w:ascii="Verdana" w:hAnsi="Verdana"/>
          <w:sz w:val="20"/>
          <w:u w:val="single"/>
        </w:rPr>
      </w:pPr>
      <w:r w:rsidRPr="00F24882">
        <w:rPr>
          <w:rFonts w:ascii="Verdana" w:hAnsi="Verdana"/>
          <w:sz w:val="20"/>
          <w:u w:val="single"/>
        </w:rPr>
        <w:t>W zakresie działalności Gminnego Ośrodka Kultury w Grabowie</w:t>
      </w:r>
    </w:p>
    <w:p w:rsidR="00304E80" w:rsidRPr="00F24882" w:rsidRDefault="00304E80" w:rsidP="00F24882">
      <w:pPr>
        <w:autoSpaceDE w:val="0"/>
        <w:autoSpaceDN w:val="0"/>
        <w:adjustRightInd w:val="0"/>
        <w:spacing w:after="0" w:line="360" w:lineRule="auto"/>
        <w:rPr>
          <w:rFonts w:ascii="Verdana" w:hAnsi="Verdana" w:cs="Times"/>
          <w:sz w:val="20"/>
          <w:szCs w:val="20"/>
        </w:rPr>
      </w:pPr>
    </w:p>
    <w:p w:rsidR="00304E80" w:rsidRPr="00F24882" w:rsidRDefault="00304E80" w:rsidP="00F24882">
      <w:pPr>
        <w:spacing w:line="360" w:lineRule="auto"/>
        <w:jc w:val="both"/>
        <w:rPr>
          <w:rFonts w:ascii="Verdana" w:hAnsi="Verdana"/>
          <w:color w:val="51382E"/>
          <w:sz w:val="20"/>
          <w:szCs w:val="20"/>
        </w:rPr>
      </w:pPr>
      <w:r w:rsidRPr="00F24882">
        <w:rPr>
          <w:rFonts w:ascii="Verdana" w:hAnsi="Verdana"/>
          <w:sz w:val="20"/>
          <w:szCs w:val="20"/>
        </w:rPr>
        <w:t>- W dniu 24 marca odbył się na terenie gminy Grabów XI Rajd ,,Powitanie Wiosny na Ziemi Łęczyckiej’’.</w:t>
      </w:r>
      <w:r w:rsidRPr="00F24882">
        <w:rPr>
          <w:rFonts w:ascii="Verdana" w:hAnsi="Verdana"/>
          <w:color w:val="51382E"/>
          <w:sz w:val="20"/>
          <w:szCs w:val="20"/>
        </w:rPr>
        <w:t xml:space="preserve"> Współorganizatorami Rajdu byli: Oddział PTTK ,,Ziemi Łęczyckiej’  w Łęczycy, Gminny Ośrodek Kultury w Grabowie oraz Gimnazjum im. Jana Kochanowskiego w Grabowie. W tegorocznej edycji  rajdu wzięła udział rekordowa liczba uczestników</w:t>
      </w:r>
      <w:r w:rsidRPr="00F24882">
        <w:rPr>
          <w:rFonts w:ascii="Verdana" w:hAnsi="Verdana" w:cs="Times"/>
          <w:color w:val="51382E"/>
          <w:sz w:val="20"/>
          <w:szCs w:val="20"/>
        </w:rPr>
        <w:t>.</w:t>
      </w:r>
      <w:r w:rsidRPr="00F24882">
        <w:rPr>
          <w:rFonts w:ascii="Verdana" w:hAnsi="Verdana"/>
          <w:color w:val="51382E"/>
          <w:sz w:val="20"/>
          <w:szCs w:val="20"/>
        </w:rPr>
        <w:t xml:space="preserve"> Na trasie zameldowało się 28 drużyn z 27 szkół z powiatów: łęczyckiego, poddębickiego i kutnowskiego. Łącznie wzięło udział 540 uczestników. Wszyscy spotkali się na zamku             w Besiekierach gdzie odbyło się uroczyste pasowanie i wręczanie odznak turystycznych nowym członkom PTTK. Następnie wszystkie drużyny wzięły udział w konkursie MISS MARZANNA, w którym oceniane były słomiane kukły związane od wieków z obrzędami wypędzania zimy. Tytuł MISS MARZANNA 2012 i nagrodę Wójta Gminy Grabów zdobyła drużyna ze Szkoły Podstawowej w Leźnicy Małej.</w:t>
      </w:r>
      <w:r w:rsidRPr="00F24882">
        <w:rPr>
          <w:rFonts w:ascii="Verdana" w:hAnsi="Verdana" w:cs="Times"/>
          <w:color w:val="51382E"/>
          <w:sz w:val="20"/>
          <w:szCs w:val="20"/>
        </w:rPr>
        <w:t xml:space="preserve"> </w:t>
      </w:r>
      <w:r w:rsidRPr="00F24882">
        <w:rPr>
          <w:rFonts w:ascii="Verdana" w:hAnsi="Verdana"/>
          <w:color w:val="51382E"/>
          <w:sz w:val="20"/>
          <w:szCs w:val="20"/>
        </w:rPr>
        <w:t>Z Besiekier drużyny udały się w dalszą drogę do Grabowa, gdzie rajdowiczów przywitało gościnne Gimnazjum im. Jana Kochanowskiego. Tu, rozegrano konkursy:  ,, Gmina Grabów przyjazna każdemu turyście” oraz Konkurs Piosenki Turystycznej.</w:t>
      </w:r>
    </w:p>
    <w:p w:rsidR="00C107D6" w:rsidRPr="00F97669" w:rsidRDefault="00304E80" w:rsidP="00C107D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24882">
        <w:rPr>
          <w:rFonts w:ascii="Verdana" w:hAnsi="Verdana"/>
          <w:color w:val="51382E"/>
          <w:sz w:val="20"/>
          <w:szCs w:val="20"/>
        </w:rPr>
        <w:t xml:space="preserve">- W dniu 10 kwietnia, </w:t>
      </w:r>
      <w:r w:rsidRPr="00F24882">
        <w:rPr>
          <w:rFonts w:ascii="Verdana" w:hAnsi="Verdana"/>
          <w:color w:val="000000"/>
          <w:sz w:val="20"/>
          <w:szCs w:val="20"/>
        </w:rPr>
        <w:t>tradycyjnie po wielkanocnym poniedziałku odbyło się Święto Palanta. Zorganizowali je wspólnie: Urząd Gminy w Grabowie, Klub Palanta w Grabowie, Starostwo Powiatowe w Łęczycy oraz Lokalna Organizacja Turystyczna Centralny ŁUK Turystyczny.</w:t>
      </w:r>
      <w:r w:rsidRPr="00F24882">
        <w:rPr>
          <w:rFonts w:ascii="Verdana" w:hAnsi="Verdana"/>
          <w:color w:val="51382E"/>
          <w:sz w:val="20"/>
          <w:szCs w:val="20"/>
        </w:rPr>
        <w:t xml:space="preserve"> </w:t>
      </w:r>
      <w:r w:rsidRPr="00F24882">
        <w:rPr>
          <w:rFonts w:ascii="Verdana" w:hAnsi="Verdana"/>
          <w:color w:val="000000"/>
          <w:sz w:val="20"/>
          <w:szCs w:val="20"/>
        </w:rPr>
        <w:t xml:space="preserve">Święto rozpoczęła uroczysta msza święta, po której ulicami Grabowa przemaszerował barwny korowód na czele z Królem Palanta Adamem Rapackim. W pochodzie szli m.in. członkowie miejscowego Klubu Palanta, władze powiatu i gminy, zaproszeni goście, Gminna Orkiestra Dęta z Mażoretkami, bractwo rycerskie, drużyna Schlagballa </w:t>
      </w:r>
      <w:r w:rsidR="00F97669">
        <w:rPr>
          <w:rFonts w:ascii="Verdana" w:hAnsi="Verdana"/>
          <w:color w:val="000000"/>
          <w:sz w:val="20"/>
          <w:szCs w:val="20"/>
        </w:rPr>
        <w:t xml:space="preserve"> </w:t>
      </w:r>
      <w:r w:rsidRPr="00F24882">
        <w:rPr>
          <w:rFonts w:ascii="Verdana" w:hAnsi="Verdana"/>
          <w:color w:val="000000"/>
          <w:sz w:val="20"/>
          <w:szCs w:val="20"/>
        </w:rPr>
        <w:t xml:space="preserve">z LKS Cyprzanów, członkowie łódzkiego klubu Classic Cars. Na scenie prezentowały się: Orkiestra Dęta z Grabowa oraz jej młodzieżowa sekcja, Mażoretki, zespół Swojskie Kolebanie, zespół Pod Gruszą, dzieci  ze szkół grabowskich, zespół ,,Ex Aequo”, </w:t>
      </w:r>
      <w:r w:rsidR="00F97669" w:rsidRPr="00F24882">
        <w:rPr>
          <w:rFonts w:ascii="Verdana" w:hAnsi="Verdana"/>
          <w:color w:val="000000"/>
          <w:sz w:val="20"/>
          <w:szCs w:val="20"/>
        </w:rPr>
        <w:t>prezentujący</w:t>
      </w:r>
      <w:r w:rsidRPr="00F24882">
        <w:rPr>
          <w:rFonts w:ascii="Verdana" w:hAnsi="Verdana"/>
          <w:color w:val="000000"/>
          <w:sz w:val="20"/>
          <w:szCs w:val="20"/>
        </w:rPr>
        <w:t xml:space="preserve"> folklor śląski oraz Kapela Łęczycka. Rozegrano mecz palanta między drużynami ze szkół podstawowych   z Grabowa i Starej Sobótki a punktem  kulminacyjny imprezy był mecz członków Klubu Palanta w Grabowie oraz druż</w:t>
      </w:r>
      <w:r w:rsidR="00C107D6">
        <w:rPr>
          <w:rFonts w:ascii="Verdana" w:hAnsi="Verdana"/>
          <w:color w:val="000000"/>
          <w:sz w:val="20"/>
          <w:szCs w:val="20"/>
        </w:rPr>
        <w:t xml:space="preserve">yny Schlagballa LKS Cyprzanów. </w:t>
      </w:r>
      <w:r w:rsidR="00C107D6" w:rsidRPr="00F24882">
        <w:rPr>
          <w:rFonts w:ascii="Verdana" w:hAnsi="Verdana"/>
          <w:color w:val="000000"/>
          <w:sz w:val="20"/>
          <w:szCs w:val="20"/>
        </w:rPr>
        <w:t>Święto Palanta</w:t>
      </w:r>
      <w:r w:rsidRPr="00F24882">
        <w:rPr>
          <w:rFonts w:ascii="Verdana" w:hAnsi="Verdana"/>
          <w:color w:val="000000"/>
          <w:sz w:val="20"/>
          <w:szCs w:val="20"/>
        </w:rPr>
        <w:t xml:space="preserve"> </w:t>
      </w:r>
      <w:r w:rsidR="00C107D6" w:rsidRPr="00F24882">
        <w:rPr>
          <w:rFonts w:ascii="Verdana" w:hAnsi="Verdana"/>
          <w:sz w:val="20"/>
          <w:szCs w:val="20"/>
        </w:rPr>
        <w:t>współfinansowane</w:t>
      </w:r>
      <w:r w:rsidR="00C107D6" w:rsidRPr="00C107D6">
        <w:rPr>
          <w:rFonts w:ascii="Verdana" w:hAnsi="Verdana"/>
          <w:sz w:val="20"/>
          <w:szCs w:val="20"/>
        </w:rPr>
        <w:t xml:space="preserve"> </w:t>
      </w:r>
      <w:r w:rsidR="00C107D6" w:rsidRPr="00F24882">
        <w:rPr>
          <w:rFonts w:ascii="Verdana" w:hAnsi="Verdana"/>
          <w:sz w:val="20"/>
          <w:szCs w:val="20"/>
        </w:rPr>
        <w:t xml:space="preserve">było ze środków Programu Rozwoju Obszarów Wiejskich na lata 2007 – 2013. </w:t>
      </w:r>
    </w:p>
    <w:p w:rsidR="00F97669" w:rsidRDefault="00F97669" w:rsidP="00F24882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304E80" w:rsidRPr="00C107D6" w:rsidRDefault="00304E80" w:rsidP="00C107D6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24882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107D6">
        <w:rPr>
          <w:rFonts w:ascii="Verdana" w:hAnsi="Verdana"/>
          <w:color w:val="000000"/>
          <w:sz w:val="20"/>
          <w:szCs w:val="20"/>
        </w:rPr>
        <w:t xml:space="preserve">                               </w:t>
      </w:r>
    </w:p>
    <w:p w:rsidR="00304E80" w:rsidRDefault="00304E80" w:rsidP="00304E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:rsidR="00304E80" w:rsidRDefault="00304E80" w:rsidP="00304E80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</w:t>
      </w:r>
      <w:r w:rsidR="00C107D6">
        <w:rPr>
          <w:rFonts w:ascii="Book Antiqua" w:hAnsi="Book Antiqua"/>
        </w:rPr>
        <w:t xml:space="preserve">              Dziękuję za uwagę</w:t>
      </w:r>
    </w:p>
    <w:p w:rsidR="00304E80" w:rsidRDefault="00304E80" w:rsidP="00304E80">
      <w:pPr>
        <w:pStyle w:val="Tekstpodstawowy"/>
        <w:jc w:val="left"/>
        <w:rPr>
          <w:rFonts w:ascii="Book Antiqua" w:hAnsi="Book Antiqua"/>
        </w:rPr>
      </w:pPr>
    </w:p>
    <w:p w:rsidR="00304E80" w:rsidRDefault="00304E80" w:rsidP="00304E80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WÓJT GMINY GRABÓW</w:t>
      </w:r>
    </w:p>
    <w:p w:rsidR="00304E80" w:rsidRDefault="00304E80" w:rsidP="00304E80">
      <w:pPr>
        <w:pStyle w:val="Tekstpodstawowy"/>
        <w:jc w:val="left"/>
        <w:rPr>
          <w:rFonts w:ascii="Book Antiqua" w:hAnsi="Book Antiqua"/>
        </w:rPr>
      </w:pPr>
    </w:p>
    <w:p w:rsidR="00304E80" w:rsidRDefault="00304E80" w:rsidP="00304E80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Ryszard Kostrzewski</w:t>
      </w:r>
    </w:p>
    <w:p w:rsidR="00304E80" w:rsidRDefault="00304E80" w:rsidP="00304E80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sectPr w:rsidR="00304E80" w:rsidSect="00C107D6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69"/>
    <w:multiLevelType w:val="hybridMultilevel"/>
    <w:tmpl w:val="48C64D2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384"/>
    <w:multiLevelType w:val="hybridMultilevel"/>
    <w:tmpl w:val="1E82DF54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53D"/>
    <w:multiLevelType w:val="hybridMultilevel"/>
    <w:tmpl w:val="04708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6619"/>
    <w:multiLevelType w:val="hybridMultilevel"/>
    <w:tmpl w:val="AB26777A"/>
    <w:lvl w:ilvl="0" w:tplc="299EF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2099"/>
    <w:multiLevelType w:val="hybridMultilevel"/>
    <w:tmpl w:val="E594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4F20"/>
    <w:multiLevelType w:val="hybridMultilevel"/>
    <w:tmpl w:val="73AE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C96"/>
    <w:multiLevelType w:val="hybridMultilevel"/>
    <w:tmpl w:val="F86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09B4"/>
    <w:multiLevelType w:val="hybridMultilevel"/>
    <w:tmpl w:val="C0421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01BA3"/>
    <w:multiLevelType w:val="hybridMultilevel"/>
    <w:tmpl w:val="AB26777A"/>
    <w:lvl w:ilvl="0" w:tplc="299EF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304E80"/>
    <w:rsid w:val="00181412"/>
    <w:rsid w:val="00304E80"/>
    <w:rsid w:val="003572FD"/>
    <w:rsid w:val="003B112C"/>
    <w:rsid w:val="00580B74"/>
    <w:rsid w:val="006F41FC"/>
    <w:rsid w:val="00AC426E"/>
    <w:rsid w:val="00C107D6"/>
    <w:rsid w:val="00D61D70"/>
    <w:rsid w:val="00D76297"/>
    <w:rsid w:val="00E540DD"/>
    <w:rsid w:val="00ED51F1"/>
    <w:rsid w:val="00F24882"/>
    <w:rsid w:val="00F9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70"/>
  </w:style>
  <w:style w:type="paragraph" w:styleId="Nagwek1">
    <w:name w:val="heading 1"/>
    <w:basedOn w:val="Normalny"/>
    <w:next w:val="Normalny"/>
    <w:link w:val="Nagwek1Znak"/>
    <w:qFormat/>
    <w:rsid w:val="00304E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E8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04E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4E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04E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4E8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E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248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849F-D65A-4B38-887B-C5A7625A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2178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8</cp:revision>
  <cp:lastPrinted>2012-04-20T10:59:00Z</cp:lastPrinted>
  <dcterms:created xsi:type="dcterms:W3CDTF">2012-04-18T10:14:00Z</dcterms:created>
  <dcterms:modified xsi:type="dcterms:W3CDTF">2012-04-20T11:07:00Z</dcterms:modified>
</cp:coreProperties>
</file>